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C" w:rsidRPr="00764FFF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8208C" w:rsidRPr="00764FFF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Хакасия</w:t>
      </w:r>
    </w:p>
    <w:p w:rsidR="0028208C" w:rsidRPr="00764FFF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Таштыпский район</w:t>
      </w:r>
    </w:p>
    <w:p w:rsidR="0028208C" w:rsidRPr="00764FFF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Анчулского сельсовета</w:t>
      </w:r>
    </w:p>
    <w:p w:rsidR="0028208C" w:rsidRPr="00764FFF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C" w:rsidRPr="00764FFF" w:rsidRDefault="0028208C" w:rsidP="0028208C">
      <w:pPr>
        <w:suppressAutoHyphens w:val="0"/>
        <w:spacing w:after="0" w:line="240" w:lineRule="auto"/>
        <w:ind w:left="22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C" w:rsidRPr="00764FFF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8208C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C" w:rsidRPr="00764FFF" w:rsidRDefault="0028208C" w:rsidP="0028208C">
      <w:pPr>
        <w:suppressAutoHyphens w:val="0"/>
        <w:spacing w:after="0" w:line="240" w:lineRule="auto"/>
        <w:ind w:left="22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C" w:rsidRDefault="0028208C" w:rsidP="0028208C">
      <w:pPr>
        <w:suppressAutoHyphens w:val="0"/>
        <w:spacing w:after="0" w:line="240" w:lineRule="auto"/>
        <w:ind w:left="22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30.09.2022 </w:t>
      </w:r>
      <w:r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с.Анчул</w:t>
      </w:r>
      <w:r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Pr="00282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</w:p>
    <w:p w:rsidR="0028208C" w:rsidRPr="00BB6133" w:rsidRDefault="0028208C" w:rsidP="0028208C">
      <w:pPr>
        <w:suppressAutoHyphens w:val="0"/>
        <w:spacing w:after="0" w:line="240" w:lineRule="auto"/>
        <w:ind w:left="22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C" w:rsidRDefault="0028208C" w:rsidP="0028208C">
      <w:pPr>
        <w:spacing w:after="0" w:line="100" w:lineRule="atLeast"/>
        <w:ind w:left="227" w:right="5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208C" w:rsidRDefault="0028208C" w:rsidP="0028208C">
      <w:pPr>
        <w:spacing w:after="0" w:line="240" w:lineRule="auto"/>
        <w:ind w:left="22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8208C" w:rsidRDefault="0028208C" w:rsidP="0028208C">
      <w:pPr>
        <w:spacing w:after="0" w:line="240" w:lineRule="auto"/>
        <w:ind w:left="22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коммерческом найме жилых</w:t>
      </w:r>
    </w:p>
    <w:p w:rsidR="0028208C" w:rsidRDefault="0028208C" w:rsidP="0028208C">
      <w:pPr>
        <w:spacing w:after="0" w:line="240" w:lineRule="auto"/>
        <w:ind w:left="22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 находящихся в</w:t>
      </w:r>
    </w:p>
    <w:p w:rsidR="0028208C" w:rsidRPr="00292B9F" w:rsidRDefault="0028208C" w:rsidP="0028208C">
      <w:pPr>
        <w:spacing w:after="0" w:line="240" w:lineRule="auto"/>
        <w:ind w:left="22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Анчулского сельсовета</w:t>
      </w:r>
    </w:p>
    <w:p w:rsidR="0028208C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08C" w:rsidRPr="00292B9F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08C" w:rsidRPr="00292B9F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главой 35 Гражданского кодекса Российской Федерации, статьей 30 Жилищного кодекса Российской Федерации, Федеральным законом от 06.10.2003 № 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Федерации», Уставом муниципального образования Анчулский сельсовет от 05.01.2006 г. №10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292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8208C" w:rsidRPr="00292B9F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08C" w:rsidRPr="00292B9F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коммерческом найме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находящихся в собственности Анчулского сельсовета  (приложение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208C" w:rsidRPr="00292B9F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Методику расчета платы за коммерческий наем жилых помещений муниципального жилищного фонда коммерческого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спользования  (приложение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208C" w:rsidRPr="00292B9F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Для расчета платы за коммерческий наем жилых помещений установить базовую ставку стоимости 1 кв. м в год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>% (или стоимость кв.м. на вторичном рынке) от кадастровой стоимости 1 кв. м. жилого помещения.</w:t>
      </w:r>
    </w:p>
    <w:p w:rsidR="0028208C" w:rsidRPr="00292B9F" w:rsidRDefault="0028208C" w:rsidP="0028208C">
      <w:pPr>
        <w:spacing w:after="0" w:line="240" w:lineRule="auto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вступает в силу с момента официального опубликования (обнародования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в  установленном порядке</w:t>
      </w: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8208C" w:rsidRDefault="0028208C" w:rsidP="0028208C">
      <w:pPr>
        <w:spacing w:after="0" w:line="100" w:lineRule="atLeast"/>
        <w:ind w:left="22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08C" w:rsidRDefault="0028208C" w:rsidP="0028208C">
      <w:pPr>
        <w:spacing w:after="0" w:line="100" w:lineRule="atLeast"/>
        <w:ind w:left="227" w:right="5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208C" w:rsidRPr="00292B9F" w:rsidRDefault="0028208C" w:rsidP="0028208C">
      <w:pPr>
        <w:spacing w:after="0" w:line="100" w:lineRule="atLeast"/>
        <w:ind w:left="227" w:right="5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208C" w:rsidRPr="00292B9F" w:rsidRDefault="0028208C" w:rsidP="0028208C">
      <w:pPr>
        <w:suppressAutoHyphens w:val="0"/>
        <w:spacing w:after="0" w:line="240" w:lineRule="auto"/>
        <w:ind w:left="22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Анчулского сельсовета</w:t>
      </w:r>
      <w:r w:rsidRPr="0029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О.И.Тибильдеев</w:t>
      </w:r>
      <w:r w:rsidRPr="0029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28208C" w:rsidRDefault="0028208C" w:rsidP="0028208C">
      <w:pPr>
        <w:suppressAutoHyphens w:val="0"/>
        <w:spacing w:after="0" w:line="240" w:lineRule="auto"/>
        <w:ind w:left="22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C" w:rsidRDefault="0028208C" w:rsidP="0028208C">
      <w:pPr>
        <w:suppressAutoHyphens w:val="0"/>
        <w:spacing w:after="0" w:line="240" w:lineRule="auto"/>
        <w:ind w:left="22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C" w:rsidRDefault="0028208C" w:rsidP="0028208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08C" w:rsidRDefault="0028208C" w:rsidP="0028208C">
      <w:pPr>
        <w:spacing w:after="0" w:line="100" w:lineRule="atLeast"/>
        <w:rPr>
          <w:rFonts w:ascii="Times New Roman" w:eastAsia="Times New Roman" w:hAnsi="Times New Roman" w:cs="Times New Roman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</w:rPr>
      </w:pPr>
    </w:p>
    <w:p w:rsidR="0028208C" w:rsidRPr="00292B9F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</w:rPr>
      </w:pPr>
      <w:r w:rsidRPr="00292B9F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28208C" w:rsidRPr="00292B9F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</w:rPr>
      </w:pPr>
      <w:r w:rsidRPr="00292B9F">
        <w:rPr>
          <w:rFonts w:ascii="Times New Roman" w:eastAsia="Times New Roman" w:hAnsi="Times New Roman" w:cs="Times New Roman"/>
        </w:rPr>
        <w:t>к решению Совета депутатов</w:t>
      </w:r>
    </w:p>
    <w:p w:rsidR="0028208C" w:rsidRPr="00764FF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76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Анчулского сельсовета</w:t>
      </w:r>
    </w:p>
    <w:p w:rsidR="0028208C" w:rsidRPr="0028208C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от 30.09.2022</w:t>
      </w:r>
      <w:r w:rsidR="00373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№ </w:t>
      </w:r>
      <w:r w:rsidRPr="002820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60</w:t>
      </w:r>
    </w:p>
    <w:p w:rsidR="0028208C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208C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208C" w:rsidRPr="00764FF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КОММЕРЧЕСКОМ НАЙМЕ ЖИЛЫХ ПОМЕЩЕНИЙ,</w:t>
      </w: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НАХОДЯЩИХС</w:t>
      </w:r>
      <w:r w:rsidR="00373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 СОБСТВЕННОСТИ АНЧУЛСКОГО СЕЛЬСОВЕТА</w:t>
      </w: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208C" w:rsidRPr="00ED3B8B" w:rsidRDefault="0028208C" w:rsidP="00ED3B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D3B8B" w:rsidRPr="00ED3B8B" w:rsidRDefault="00ED3B8B" w:rsidP="00373D14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коммерческом найме жилых помещений, находящих</w:t>
      </w:r>
      <w:r w:rsidR="008C7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собственности Анчулского сельсовета 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Положение) разработано в соответствии с Конституцией Российской Федерации, Гражданским кодексом Российской Федерации, Жилищным кодексом Российской Ф</w:t>
      </w:r>
      <w:r w:rsidR="00373D1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едерации, Уставом  муниципального образования Анчулский сельсовет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порядок и условия коммерческого найма жилых помещений,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Коммерческий наем жилых помещений представляет собой основанное на договоре срочное, возмездное пользование жилыми помещениями, находящимися в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их назначением.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Основным документом, регулирующим отношения Наймодателя с Нанимателем, является договор коммерческого найма жилого помещения, заключаемый в письменной форме,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риложению № 1.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коммерческого найма жилого помещения - соглашение, по которому собственник жилого помещения (далее - Наймодатель) передает другой стороне (далее - Наниматель) жилое помещение за плату во временное владение и (или) пользование, а Наниматель обязуется использовать его в соответствии с назначением и своевременно выполнять обязательства по договору. Договор коммерческого найма жилого помещения считается заключенным с момента его подписания Наймодателем и Нанимателем.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В договоре коммерческого найма жилого помещения должны быть указаны члены семьи Нанимателя, которые будут постоянно проживать с Нанимателем. Наниматель обязан ознакомить их с условиями договора коммерческого найма жилого помещения.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жилого помещения осуществляется на основании акта передачи жилого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2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являющегося неотъемлемой частью договора по передаче жилого помещения в коммерческий наем.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акта передачи жилого помещения в коммерческий наем осуществляется специалистом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уполномоченным на заключение договоров коммерческого найма.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1.5. Объектом договора коммерческого найма жилого помещения может быть изолированное жилое помещение, пригодное для проживания, в виде отдельной квартиры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дома 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комнаты с долей в праве на места общего пользования, благоустроенное применительно к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овиям населенных пунктов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отвечающее санитарным и техническим нормам.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1.6. Сдача жилого помещения в коммерческий наем не влечет передачу права собственности на него.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1.7. По договору коммерческого найма нанимателю передается жилое помещение, не обремененное правами иных лиц.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1.8.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28208C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1.9. Наниматель имеет право на заключение договора страхования помещения, сдаваемого по договорам коммерческого найма.</w:t>
      </w:r>
    </w:p>
    <w:p w:rsidR="0028208C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УСЛОВИЯ КОММЕРЧЕСКОГО НАЙМА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3B8B" w:rsidRPr="00292B9F" w:rsidRDefault="00ED3B8B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Наймодателем жилого помещения по договору коммерческого найма жилого помещения является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</w:p>
    <w:p w:rsidR="0028208C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Pr="00292B9F" w:rsidRDefault="0028208C" w:rsidP="00282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администрация). Платежи за коммерческий наем жилого помещения поступают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Нанимателем жилого помещения по договору коммерческого найма жилого помещения может быть только совершеннолетний гражданин, зарегистрированный на территории Российской Федерации в установленном порядке.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Преимущественное право на предоставление жилого помещения на условиях коммерческого найма имеют: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муниципальные служащие и работники органов местного самоуправления;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работники муниципальных предприятий и учреждений; приглашенные для работы в населенных 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специалисты (медицинские и педагогические работники, сотрудники правоохранительных органов, и др.) по ходатайствам руководителей организаций;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работники предприятий, расположенных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территории 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ходатайствам руководителей организаций;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граждане, проживающие в частных домах, не соответствующих санитарно-техническим требованиям;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граждане, состоящие на учете на улучшение жилищных условий в соответствии с требованиями жилищного законодательства.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Учет граждан, желающих приобрести жилые помещения на условиях коммерческого найма, предусмотренных настоящим Положением,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2.4.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Прекращение Нанимателем трудовой деятельности, с учетом которой предоставлено жилое помещение на условиях коммерческого найма, является основанием для расторжения договора коммерческого найма жилого помещения. В этом случае Наймодатель вправе требовать от Нанимателя освобождения жилого помещения.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По истечении договора коммерческого найма, при необходимости, Наниматель вправе обратиться в жилищную комиссию при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жилищная комиссия) с заявлением о заключении нового договора коммерческого найма. Наниматель, надлежащим образом исполнявший свои обязанности, имеет при прочих равных условиях преимущественное право перед другими лицами на возобновление договора коммерческого найма.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2.7.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Наймодатель не вправе отказать такому гражданину во вступлении в договор на оставшийся срок его действия.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отсутствии соглашения между совершеннолетними гражданами, указанными в договоре коммерческого найма жилого помещения в качестве постоянно проживающих с Нанимателем, все граждане, постоянно проживающие в жилом помещении, становятся 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сонанимателями по договору коммерческого найма жилого помещения в соответствии с частью 2 статьи 686 Гражданского кодекса Российской Федерации.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2.8.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2.9. Наниматель несет ответственность перед Наймодателем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28208C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2.10. Если Наниматель не возвратил жилое помещение либо возвратил его несвоевременно, Наймодатель вправе потребовать от Нанимателя внесения платы за жилое помещение за все время просрочки. В случае, когда указанная плата не покрывает причиненных Наймодателю убытков, он может потребовать их возмещения в полном объеме.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2.11. Наймодатель за свой счет производит капитальный ремонт переданного в наем жилого помещения. По согласованию с Наймодателем Наниматель имеет право произвести капитальный ремонт за свой счет и с зачетом расходов в счет платы за наем.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2.12. При освобождении Нанимателем жилого помещения по окончании срока договора или расторжении договора коммерческого найма в случае ненадлежащего состояния жилого помещения он обязан оплатить Наймодателю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2.13.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и иные услуги, а также принимать долевое участие в расходах по содержанию общего имущества дома и придомовой территории.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2.14. Наниматель не вправе без письменного согласия Наймодателя вселять в жилое помещение лиц, не указанных в договоре коммерческого найма жилого помещения.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2.15. Иные права и обязанности Наймодателя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2.16. К договору найма жилого помещения, заключенному на срок до одного года (краткосрочный наем), не применяются правила, предусмотренные пунктами 2.4, 2.6, абзацем вторым пункта 2.9 настоящего Положения.</w:t>
      </w: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ПРЕДОСТАВЛЕНИЯ ЖИЛЫХ ПОМЕЩЕНИЙ</w:t>
      </w:r>
    </w:p>
    <w:p w:rsidR="0028208C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ДОГОВОРАМ КОММЕРЧЕСКОГО НАЙМА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3B8B" w:rsidRPr="00292B9F" w:rsidRDefault="00ED3B8B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гражданам жилых помещений по договору коммерческого найма жилого помещения осуществляется на основании постановления главы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решения жилищной комиссии.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Основанием для вселения в жилое помещение, предоставляемое по договору коммерческого найма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договор коммерческого найма жилого помещения, заключенный между Наймодателем и Нанимателем в порядке и на условиях, 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установленный действующим законодательством и муниципальными правовыми актами, а также подписанный обеими сторонами договора акта-приема жилого помещения.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Для рассмотрения вопроса о возможности предоставления жилого помещения по договору коммерческого найма гражданин (далее - Заявитель) представляет уполномоченному специалисту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документы: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предоставлении помещения по договору коммерческого найма,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документ, удостоверяющий личность Заявителя, копии документов, удостоверяющие личность граждан, которые будут проживать вместе с Заявителем,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с места работы либо копию трудовой книжки, заверенную работодателем,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справку </w:t>
      </w:r>
      <w:r w:rsidRPr="00292B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регистрации заявителя и членов его семьи по месту жительства, запрашиваемые в органе, осуществляющем регистрационный учет по месту жительства указанных граждан и членов их семей.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документы по требованию жилищной комиссии.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3.4. Заявление о предоставлении жилого помещения Заявителю по договору коммерческого найма рассматривается жилищной комиссией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3.5. В случае положительного решения жилищной комиссии уполномоченный специалист администрации подготавливает проект постановления о предоставлении Заявителю жилого помещения по договору коммерческого найма жилого помещения.</w:t>
      </w:r>
    </w:p>
    <w:p w:rsidR="0028208C" w:rsidRPr="00292B9F" w:rsidRDefault="0028208C" w:rsidP="00ED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После принятия постановления, специалистом администрации оформляется договор коммерческого найма жилого помещения, а Заявителю направляется письменное приглашение (далее - Приглашение) прибыть в назначенный день для заключения (подписания) договора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Приглашение направляется Заявителю по указанному им в заявлении адресу или сообщается по телефону (на копии приглашения, 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 и по какому телефону сообщено, делается соответствующая отметка за подписью исполнителя).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В случае невозможности прибыть для получения постановления и заключения договора в срок указанный в приглашении Заявитель обязан любым удобным для него способом уведомить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об обстоятельствах, препятствующих явке.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Договор коммерческого найма жилого помещения должен быть заключен (подписан) Заявителем в срок не позднее 1 месяца с момента получения им Приглашения. В случае отсутствия Заявителя по указанному в заявлении адресу или возврате Приглашения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дминистрацию, Заявитель считается уведомленным надлежащим образом.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В случае пропуска Заявителем срока, отведенного для заключения договора коммерческого найма жилого помещения без уважительных причин,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о предоставлении этому Заявителю по договору коммерческого найма жилого помещения может быть отменено.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пропуска Заявителем срока, отведенного для заключения договора коммерческого найма жилого помещения по уважительной причине (болезнь, командировка и т.д.), этот срок продлевается при условии уведомления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о невозможности заключения договора в указанный в Приглашении день.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В целях сокращения сроков отведенных для заключения договоров коммерческого найма жилого помещения,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вправе изменить порядок Приглашения Заявителя для подписания договора, предусмотренный п. 3.6 настоящего Положения, на иной, удобный для Заявителя порядок, не нарушая при этом его прав и законных интересов.</w:t>
      </w: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208C" w:rsidRPr="00292B9F" w:rsidRDefault="0028208C" w:rsidP="0028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ОПЛАТЫ КОММЕРЧЕСКОГО НАЙМА ЖИЛОГО ПОМЕЩЕНИЯ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плату за пользование жилым помещением (плата за коммерческий наем);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плату за содержание жилого помещения, включающую в себя плату за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 электрическую энергию;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плату за коммунальные услуги.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Размер базовой ставки стоимости 1 кв. м в год для расчета платы за коммерческий наем устанавливается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за коммерческий наем жилого помещения 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Анчулского сельсовета</w:t>
      </w: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Методикой расчета.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платы за коммерческий наем жилого помещения возможно не чаще одного раза в календарный год.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внесения платы за коммерческий наем жилого помещения, порядок перечисления платы, а также порядок и сроки уведомления Нанимателя об изменении Наймодателем платы за коммерческий наем определяются договором коммерческого найма жилого помещения.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4.3. Размер платы за содержание и ремонт жилого помещения и коммунальные услуги устанавливается в соответствии с Жилищным кодексом Российской Федерации.</w:t>
      </w:r>
    </w:p>
    <w:p w:rsidR="0028208C" w:rsidRPr="00292B9F" w:rsidRDefault="0028208C" w:rsidP="00282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B9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:rsidR="0028208C" w:rsidRPr="003C02DB" w:rsidRDefault="0028208C" w:rsidP="002820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2B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2B9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08C" w:rsidRDefault="0028208C" w:rsidP="0028208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4AF" w:rsidRDefault="00C864AF"/>
    <w:sectPr w:rsidR="00C864AF" w:rsidSect="00C8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9C2"/>
    <w:multiLevelType w:val="hybridMultilevel"/>
    <w:tmpl w:val="B660F1C0"/>
    <w:lvl w:ilvl="0" w:tplc="CDFAA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8208C"/>
    <w:rsid w:val="0003168E"/>
    <w:rsid w:val="00113D71"/>
    <w:rsid w:val="002455D7"/>
    <w:rsid w:val="0028208C"/>
    <w:rsid w:val="00373D14"/>
    <w:rsid w:val="008C7756"/>
    <w:rsid w:val="00C864AF"/>
    <w:rsid w:val="00ED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8C"/>
    <w:pPr>
      <w:suppressAutoHyphens/>
      <w:spacing w:after="160" w:line="259" w:lineRule="auto"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9B35-9D44-4922-A156-314EB68C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2395</Words>
  <Characters>13653</Characters>
  <Application>Microsoft Office Word</Application>
  <DocSecurity>0</DocSecurity>
  <Lines>113</Lines>
  <Paragraphs>32</Paragraphs>
  <ScaleCrop>false</ScaleCrop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2022-10-03T03:06:00Z</dcterms:created>
  <dcterms:modified xsi:type="dcterms:W3CDTF">2022-10-06T03:35:00Z</dcterms:modified>
</cp:coreProperties>
</file>